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9ABF" w14:textId="77777777" w:rsidR="00EA5BFB" w:rsidRDefault="00EA5BFB" w:rsidP="00CD00B0"/>
    <w:p w14:paraId="74C39935" w14:textId="6C3F04AF" w:rsidR="001266D4" w:rsidRDefault="00CD00B0" w:rsidP="00CD00B0">
      <w:r>
        <w:t>KAI.262.25.2022                                                                                                                           Załącznik nr 7</w:t>
      </w:r>
    </w:p>
    <w:p w14:paraId="45589700" w14:textId="18FA697B" w:rsidR="000458AC" w:rsidRPr="00E70B46" w:rsidRDefault="000458AC" w:rsidP="000458AC">
      <w:r w:rsidRPr="008F1F38">
        <w:rPr>
          <w:rFonts w:ascii="Times New Roman" w:hAnsi="Times New Roman" w:cs="Times New Roman"/>
          <w:b/>
        </w:rPr>
        <w:t>Rozbudowa użytkowanego przez Uczelnię systemu elektronicznej obsługi studenta BAZUS/SIMPLE.ERP</w:t>
      </w:r>
      <w:r w:rsidR="00E70B46">
        <w:rPr>
          <w:rFonts w:ascii="Times New Roman" w:hAnsi="Times New Roman" w:cs="Times New Roman"/>
          <w:b/>
        </w:rPr>
        <w:t xml:space="preserve"> </w:t>
      </w:r>
      <w:r w:rsidR="00E70B46" w:rsidRPr="00E70B46">
        <w:rPr>
          <w:rFonts w:ascii="Times New Roman" w:hAnsi="Times New Roman" w:cs="Times New Roman"/>
        </w:rPr>
        <w:t>w ramach projektu „PUZ w Ciechanowie Uczelnią bez Barier”</w:t>
      </w:r>
    </w:p>
    <w:p w14:paraId="5E02EEE6" w14:textId="4CE127E0" w:rsidR="00CB6375" w:rsidRPr="00E63E26" w:rsidRDefault="00CB6375" w:rsidP="00CB6375">
      <w:pPr>
        <w:pStyle w:val="Nagwek1"/>
        <w:numPr>
          <w:ilvl w:val="0"/>
          <w:numId w:val="0"/>
        </w:numPr>
        <w:ind w:left="360"/>
        <w:jc w:val="center"/>
        <w:rPr>
          <w:rFonts w:ascii="Calibri" w:hAnsi="Calibri" w:cs="Calibri"/>
          <w:b/>
          <w:color w:val="auto"/>
          <w:szCs w:val="24"/>
          <w:u w:val="single"/>
        </w:rPr>
      </w:pPr>
      <w:r>
        <w:rPr>
          <w:rFonts w:ascii="Calibri" w:hAnsi="Calibri" w:cs="Calibri"/>
          <w:b/>
          <w:color w:val="auto"/>
          <w:szCs w:val="24"/>
          <w:u w:val="single"/>
        </w:rPr>
        <w:t>Funkcjonalności dodatkowe systemu</w:t>
      </w:r>
    </w:p>
    <w:p w14:paraId="3193D867" w14:textId="77777777" w:rsidR="00CB6375" w:rsidRPr="00462415" w:rsidRDefault="00CB6375" w:rsidP="00CB6375">
      <w:pPr>
        <w:jc w:val="center"/>
        <w:rPr>
          <w:rFonts w:cs="Calibri"/>
          <w:sz w:val="24"/>
          <w:szCs w:val="24"/>
        </w:rPr>
      </w:pPr>
      <w:bookmarkStart w:id="0" w:name="_GoBack"/>
      <w:bookmarkEnd w:id="0"/>
    </w:p>
    <w:p w14:paraId="0FE1C202" w14:textId="77777777" w:rsidR="00CB6375" w:rsidRPr="00462415" w:rsidRDefault="00CB6375" w:rsidP="00CB6375">
      <w:pPr>
        <w:rPr>
          <w:rFonts w:cs="Calibri"/>
          <w:sz w:val="24"/>
          <w:szCs w:val="24"/>
        </w:rPr>
      </w:pPr>
      <w:r w:rsidRPr="00462415">
        <w:rPr>
          <w:rFonts w:cs="Calibri"/>
          <w:sz w:val="24"/>
          <w:szCs w:val="24"/>
        </w:rPr>
        <w:t>Poprzez wpisanie w ostatnią kolumnę tabeli słowa TAK, Wykonawca potwierdza:</w:t>
      </w:r>
    </w:p>
    <w:p w14:paraId="62DC915A" w14:textId="78601E8D" w:rsidR="00CB6375" w:rsidRPr="00462415" w:rsidRDefault="00CB6375" w:rsidP="00CB6375">
      <w:pPr>
        <w:pStyle w:val="Akapitzlist1"/>
        <w:numPr>
          <w:ilvl w:val="0"/>
          <w:numId w:val="3"/>
        </w:numPr>
        <w:spacing w:line="259" w:lineRule="auto"/>
        <w:contextualSpacing/>
        <w:rPr>
          <w:rFonts w:ascii="Calibri" w:hAnsi="Calibri" w:cs="Calibri"/>
          <w:sz w:val="24"/>
          <w:szCs w:val="24"/>
        </w:rPr>
      </w:pPr>
      <w:r w:rsidRPr="00462415">
        <w:rPr>
          <w:rFonts w:ascii="Calibri" w:hAnsi="Calibri" w:cs="Calibri"/>
          <w:sz w:val="24"/>
          <w:szCs w:val="24"/>
        </w:rPr>
        <w:t xml:space="preserve">spełnienie oznaczonych wymagań dodatkowych przez oferowany </w:t>
      </w:r>
      <w:r w:rsidR="00472B11">
        <w:rPr>
          <w:rFonts w:ascii="Calibri" w:hAnsi="Calibri" w:cs="Calibri"/>
          <w:sz w:val="24"/>
          <w:szCs w:val="24"/>
        </w:rPr>
        <w:t>system</w:t>
      </w:r>
      <w:r w:rsidRPr="00462415">
        <w:rPr>
          <w:rFonts w:ascii="Calibri" w:hAnsi="Calibri" w:cs="Calibri"/>
          <w:sz w:val="24"/>
          <w:szCs w:val="24"/>
        </w:rPr>
        <w:t>,</w:t>
      </w:r>
    </w:p>
    <w:p w14:paraId="06F2B3EC" w14:textId="77777777" w:rsidR="00CB6375" w:rsidRPr="00462415" w:rsidRDefault="00CB6375" w:rsidP="00CB6375">
      <w:pPr>
        <w:pStyle w:val="Akapitzlist1"/>
        <w:numPr>
          <w:ilvl w:val="0"/>
          <w:numId w:val="3"/>
        </w:numPr>
        <w:spacing w:line="259" w:lineRule="auto"/>
        <w:contextualSpacing/>
        <w:rPr>
          <w:rFonts w:ascii="Calibri" w:hAnsi="Calibri" w:cs="Calibri"/>
          <w:sz w:val="24"/>
          <w:szCs w:val="24"/>
        </w:rPr>
      </w:pPr>
      <w:r w:rsidRPr="00462415">
        <w:rPr>
          <w:rFonts w:ascii="Calibri" w:hAnsi="Calibri" w:cs="Calibri"/>
          <w:sz w:val="24"/>
          <w:szCs w:val="24"/>
        </w:rPr>
        <w:t>dostarczenie i wdrożenie oznaczonych wymagań w obrębie zamówienia.</w:t>
      </w:r>
    </w:p>
    <w:p w14:paraId="27ED0D46" w14:textId="77777777" w:rsidR="00CB6375" w:rsidRPr="00462415" w:rsidRDefault="00CB6375" w:rsidP="00CB6375">
      <w:pPr>
        <w:pStyle w:val="Akapitzlist1"/>
        <w:spacing w:line="259" w:lineRule="auto"/>
        <w:contextualSpacing/>
        <w:rPr>
          <w:rFonts w:ascii="Calibri" w:hAnsi="Calibri" w:cs="Calibri"/>
          <w:sz w:val="24"/>
          <w:szCs w:val="24"/>
        </w:rPr>
      </w:pPr>
    </w:p>
    <w:p w14:paraId="4C22F42C" w14:textId="77777777" w:rsidR="00CB6375" w:rsidRPr="00462415" w:rsidRDefault="00CB6375" w:rsidP="00CB6375">
      <w:pPr>
        <w:rPr>
          <w:rFonts w:cs="Calibri"/>
          <w:sz w:val="24"/>
          <w:szCs w:val="24"/>
        </w:rPr>
      </w:pPr>
      <w:r w:rsidRPr="00462415">
        <w:rPr>
          <w:rFonts w:cs="Calibri"/>
          <w:sz w:val="24"/>
          <w:szCs w:val="24"/>
        </w:rPr>
        <w:t xml:space="preserve">Wpisanie jakiegokolwiek innego słowa lub brak wpisu będzie traktowany przez Zamawiającego jako wpisanie NIE </w:t>
      </w:r>
    </w:p>
    <w:p w14:paraId="1418752F" w14:textId="0BEB5405" w:rsidR="00F13E30" w:rsidRDefault="00F13E30" w:rsidP="00CB6375">
      <w:pPr>
        <w:pStyle w:val="Nagwek1"/>
        <w:numPr>
          <w:ilvl w:val="0"/>
          <w:numId w:val="0"/>
        </w:numPr>
        <w:spacing w:before="0"/>
        <w:ind w:left="720"/>
      </w:pPr>
    </w:p>
    <w:tbl>
      <w:tblPr>
        <w:tblW w:w="103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3464"/>
        <w:gridCol w:w="2501"/>
        <w:gridCol w:w="1574"/>
        <w:gridCol w:w="1116"/>
        <w:gridCol w:w="1283"/>
      </w:tblGrid>
      <w:tr w:rsidR="00642AA4" w:rsidRPr="0091438C" w14:paraId="56738EB9" w14:textId="2B42A9E7" w:rsidTr="00472B11">
        <w:trPr>
          <w:trHeight w:val="20"/>
        </w:trPr>
        <w:tc>
          <w:tcPr>
            <w:tcW w:w="425" w:type="dxa"/>
            <w:vAlign w:val="center"/>
          </w:tcPr>
          <w:p w14:paraId="6C4110BF" w14:textId="042163B0" w:rsidR="00642AA4" w:rsidRPr="00472B11" w:rsidRDefault="00642AA4" w:rsidP="00472B11">
            <w:pPr>
              <w:spacing w:after="0"/>
              <w:jc w:val="center"/>
            </w:pPr>
            <w:r w:rsidRPr="00472B11">
              <w:t>LP</w:t>
            </w:r>
          </w:p>
        </w:tc>
        <w:tc>
          <w:tcPr>
            <w:tcW w:w="3464" w:type="dxa"/>
            <w:vAlign w:val="center"/>
          </w:tcPr>
          <w:p w14:paraId="172C4DB9" w14:textId="488AA2C0" w:rsidR="00642AA4" w:rsidRPr="00472B11" w:rsidRDefault="00642AA4" w:rsidP="00472B11">
            <w:pPr>
              <w:spacing w:after="0"/>
              <w:jc w:val="center"/>
            </w:pPr>
            <w:r w:rsidRPr="00472B11">
              <w:rPr>
                <w:rFonts w:cs="Calibri"/>
              </w:rPr>
              <w:t>Opis funkcji</w:t>
            </w:r>
          </w:p>
        </w:tc>
        <w:tc>
          <w:tcPr>
            <w:tcW w:w="2501" w:type="dxa"/>
            <w:vAlign w:val="center"/>
          </w:tcPr>
          <w:p w14:paraId="19AE800F" w14:textId="5BE178DB" w:rsidR="00642AA4" w:rsidRPr="00472B11" w:rsidRDefault="00642AA4" w:rsidP="00472B11">
            <w:pPr>
              <w:spacing w:after="0"/>
              <w:jc w:val="center"/>
              <w:rPr>
                <w:rFonts w:cs="Calibri"/>
              </w:rPr>
            </w:pPr>
            <w:r w:rsidRPr="00472B11">
              <w:rPr>
                <w:rFonts w:cs="Calibri"/>
              </w:rPr>
              <w:t>Integracja wymagana z systemem Zamawiającego</w:t>
            </w:r>
          </w:p>
        </w:tc>
        <w:tc>
          <w:tcPr>
            <w:tcW w:w="1574" w:type="dxa"/>
            <w:vAlign w:val="center"/>
          </w:tcPr>
          <w:p w14:paraId="0B6E5F30" w14:textId="11140BCE" w:rsidR="00642AA4" w:rsidRPr="00472B11" w:rsidRDefault="00642AA4" w:rsidP="00472B11">
            <w:pPr>
              <w:jc w:val="center"/>
              <w:rPr>
                <w:rFonts w:cs="Calibri"/>
              </w:rPr>
            </w:pPr>
            <w:r w:rsidRPr="00472B11">
              <w:rPr>
                <w:rFonts w:cs="Calibri"/>
              </w:rPr>
              <w:t>Moduł</w:t>
            </w:r>
          </w:p>
        </w:tc>
        <w:tc>
          <w:tcPr>
            <w:tcW w:w="1116" w:type="dxa"/>
            <w:vAlign w:val="center"/>
          </w:tcPr>
          <w:p w14:paraId="24467CD2" w14:textId="64967930" w:rsidR="00642AA4" w:rsidRPr="00472B11" w:rsidRDefault="00642AA4" w:rsidP="00472B11">
            <w:pPr>
              <w:jc w:val="center"/>
              <w:rPr>
                <w:rFonts w:cs="Calibri"/>
              </w:rPr>
            </w:pPr>
            <w:r w:rsidRPr="00472B11">
              <w:rPr>
                <w:rFonts w:cs="Calibri"/>
              </w:rPr>
              <w:t>Waga punktowa</w:t>
            </w:r>
          </w:p>
        </w:tc>
        <w:tc>
          <w:tcPr>
            <w:tcW w:w="1283" w:type="dxa"/>
            <w:vAlign w:val="center"/>
          </w:tcPr>
          <w:p w14:paraId="377CD8C9" w14:textId="00AB5CBD" w:rsidR="00642AA4" w:rsidRPr="00472B11" w:rsidRDefault="00642AA4" w:rsidP="00472B11">
            <w:pPr>
              <w:jc w:val="center"/>
            </w:pPr>
            <w:r w:rsidRPr="00472B11">
              <w:t>SPEŁNIA TAK/NIE</w:t>
            </w:r>
          </w:p>
        </w:tc>
      </w:tr>
      <w:tr w:rsidR="00642AA4" w:rsidRPr="0091438C" w14:paraId="4775F38B" w14:textId="3EC2F291" w:rsidTr="00472B11">
        <w:trPr>
          <w:trHeight w:val="20"/>
        </w:trPr>
        <w:tc>
          <w:tcPr>
            <w:tcW w:w="425" w:type="dxa"/>
            <w:vAlign w:val="center"/>
          </w:tcPr>
          <w:p w14:paraId="74C5227E" w14:textId="0FFA0EEA" w:rsidR="00642AA4" w:rsidRPr="00FD5625" w:rsidRDefault="00642AA4" w:rsidP="00642AA4">
            <w:pPr>
              <w:spacing w:after="0"/>
            </w:pPr>
            <w:r>
              <w:t>1</w:t>
            </w:r>
          </w:p>
        </w:tc>
        <w:tc>
          <w:tcPr>
            <w:tcW w:w="3464" w:type="dxa"/>
            <w:vAlign w:val="center"/>
          </w:tcPr>
          <w:p w14:paraId="49C93EE6" w14:textId="77428556" w:rsidR="00642AA4" w:rsidRPr="00FD5625" w:rsidRDefault="00642AA4" w:rsidP="00642AA4">
            <w:pPr>
              <w:spacing w:after="0"/>
            </w:pPr>
            <w:r w:rsidRPr="00FD5625">
              <w:t>Funkcjonalność umożliwiająca dydaktykowi podgląd oceny z innej formy zajęć w ramach tego samego przedmiotu.</w:t>
            </w:r>
          </w:p>
        </w:tc>
        <w:tc>
          <w:tcPr>
            <w:tcW w:w="2501" w:type="dxa"/>
          </w:tcPr>
          <w:p w14:paraId="487ED299" w14:textId="77777777" w:rsidR="00642AA4" w:rsidRPr="00FD5625" w:rsidRDefault="00642AA4" w:rsidP="00642AA4">
            <w:pPr>
              <w:spacing w:after="0"/>
            </w:pPr>
          </w:p>
        </w:tc>
        <w:tc>
          <w:tcPr>
            <w:tcW w:w="1574" w:type="dxa"/>
          </w:tcPr>
          <w:p w14:paraId="446217A4" w14:textId="42E26F52" w:rsidR="00642AA4" w:rsidRPr="00764B72" w:rsidRDefault="00642AA4" w:rsidP="00642AA4">
            <w:r w:rsidRPr="00764B72">
              <w:t>Obsługa protokołów</w:t>
            </w:r>
          </w:p>
        </w:tc>
        <w:tc>
          <w:tcPr>
            <w:tcW w:w="1116" w:type="dxa"/>
          </w:tcPr>
          <w:p w14:paraId="0231C32D" w14:textId="20AC01A0" w:rsidR="00642AA4" w:rsidRPr="00FD5625" w:rsidRDefault="001266D4" w:rsidP="00472B11">
            <w:pPr>
              <w:jc w:val="center"/>
            </w:pPr>
            <w:r>
              <w:t>4</w:t>
            </w:r>
          </w:p>
        </w:tc>
        <w:tc>
          <w:tcPr>
            <w:tcW w:w="1283" w:type="dxa"/>
          </w:tcPr>
          <w:p w14:paraId="57E06F14" w14:textId="77777777" w:rsidR="00642AA4" w:rsidRDefault="00642AA4" w:rsidP="00642AA4"/>
        </w:tc>
      </w:tr>
      <w:tr w:rsidR="00642AA4" w:rsidRPr="0091438C" w14:paraId="756A5034" w14:textId="54882E7B" w:rsidTr="00472B11">
        <w:trPr>
          <w:trHeight w:val="20"/>
        </w:trPr>
        <w:tc>
          <w:tcPr>
            <w:tcW w:w="425" w:type="dxa"/>
            <w:vAlign w:val="center"/>
          </w:tcPr>
          <w:p w14:paraId="7FEA5E70" w14:textId="071ACE6D" w:rsidR="00642AA4" w:rsidRPr="00FD5625" w:rsidRDefault="00642AA4" w:rsidP="00642AA4">
            <w:pPr>
              <w:spacing w:after="0"/>
            </w:pPr>
            <w:r>
              <w:t>2</w:t>
            </w:r>
          </w:p>
        </w:tc>
        <w:tc>
          <w:tcPr>
            <w:tcW w:w="3464" w:type="dxa"/>
            <w:vAlign w:val="center"/>
          </w:tcPr>
          <w:p w14:paraId="5D35DB7B" w14:textId="3C8C6E7B" w:rsidR="00642AA4" w:rsidRPr="00FD5625" w:rsidRDefault="00642AA4" w:rsidP="00642AA4">
            <w:pPr>
              <w:spacing w:after="0"/>
            </w:pPr>
            <w:r w:rsidRPr="00FD5625">
              <w:t xml:space="preserve">System kierowany do obsługi dziekanatu musi posiadać możliwość ograniczenia w czasie wyboru cennika opłat </w:t>
            </w:r>
            <w:r w:rsidR="00E027D2">
              <w:t xml:space="preserve">za </w:t>
            </w:r>
            <w:r w:rsidRPr="00FD5625">
              <w:t>czesne przez studenta z poziomu Wirtualnej Uczelni.</w:t>
            </w:r>
          </w:p>
        </w:tc>
        <w:tc>
          <w:tcPr>
            <w:tcW w:w="2501" w:type="dxa"/>
          </w:tcPr>
          <w:p w14:paraId="7631F3FE" w14:textId="77777777" w:rsidR="00642AA4" w:rsidRPr="00FD5625" w:rsidRDefault="00642AA4" w:rsidP="00642AA4">
            <w:pPr>
              <w:spacing w:after="0"/>
            </w:pPr>
          </w:p>
        </w:tc>
        <w:tc>
          <w:tcPr>
            <w:tcW w:w="1574" w:type="dxa"/>
          </w:tcPr>
          <w:p w14:paraId="42C57BBE" w14:textId="1379DF20" w:rsidR="00642AA4" w:rsidRPr="00764B72" w:rsidRDefault="00642AA4" w:rsidP="00642AA4">
            <w:r w:rsidRPr="00764B72">
              <w:t>Plany finansowania (wybór cennika)</w:t>
            </w:r>
          </w:p>
        </w:tc>
        <w:tc>
          <w:tcPr>
            <w:tcW w:w="1116" w:type="dxa"/>
          </w:tcPr>
          <w:p w14:paraId="2D2902B0" w14:textId="4F444135" w:rsidR="00642AA4" w:rsidRPr="00FD5625" w:rsidRDefault="001266D4" w:rsidP="00472B11">
            <w:pPr>
              <w:jc w:val="center"/>
            </w:pPr>
            <w:r>
              <w:t>3</w:t>
            </w:r>
          </w:p>
        </w:tc>
        <w:tc>
          <w:tcPr>
            <w:tcW w:w="1283" w:type="dxa"/>
          </w:tcPr>
          <w:p w14:paraId="076C0352" w14:textId="77777777" w:rsidR="00642AA4" w:rsidRDefault="00642AA4" w:rsidP="00642AA4"/>
        </w:tc>
      </w:tr>
      <w:tr w:rsidR="00642AA4" w:rsidRPr="0091438C" w14:paraId="73F7740A" w14:textId="29E5B913" w:rsidTr="00472B11">
        <w:trPr>
          <w:trHeight w:val="20"/>
        </w:trPr>
        <w:tc>
          <w:tcPr>
            <w:tcW w:w="425" w:type="dxa"/>
            <w:vAlign w:val="center"/>
          </w:tcPr>
          <w:p w14:paraId="31966D49" w14:textId="2A6DCD8B" w:rsidR="00642AA4" w:rsidRPr="00FD5625" w:rsidRDefault="00642AA4" w:rsidP="00642AA4">
            <w:pPr>
              <w:spacing w:after="0"/>
            </w:pPr>
            <w:r>
              <w:t>3</w:t>
            </w:r>
          </w:p>
        </w:tc>
        <w:tc>
          <w:tcPr>
            <w:tcW w:w="3464" w:type="dxa"/>
            <w:vAlign w:val="center"/>
          </w:tcPr>
          <w:p w14:paraId="72EB6215" w14:textId="0F8AE90F" w:rsidR="00642AA4" w:rsidRPr="00FD5625" w:rsidRDefault="00642AA4" w:rsidP="00642AA4">
            <w:pPr>
              <w:spacing w:after="0"/>
            </w:pPr>
            <w:r w:rsidRPr="00FD5625">
              <w:t>Dla stypendium rektora prowadzony jest ranking wyliczający osoby kwalifikujące się do otrzymywania stypendium. Warunki brzegowe rankingu wprowadzane są przez pracownika aplikacji stacjonarnej(limit punktowy, procent najlepszych studentów, minimalne średnia, punkty za dodatkowe osiągnięcia).</w:t>
            </w:r>
          </w:p>
        </w:tc>
        <w:tc>
          <w:tcPr>
            <w:tcW w:w="2501" w:type="dxa"/>
          </w:tcPr>
          <w:p w14:paraId="5F1BAF27" w14:textId="77777777" w:rsidR="00642AA4" w:rsidRPr="00FD5625" w:rsidRDefault="00642AA4" w:rsidP="00642AA4">
            <w:pPr>
              <w:spacing w:after="0"/>
            </w:pPr>
            <w:r w:rsidRPr="00FD5625">
              <w:t>Wymagana jest bieżąca synchronizacja z modułem obsługi toku studiów będącym w posiadaniu Zamawiającego.</w:t>
            </w:r>
          </w:p>
          <w:p w14:paraId="4B1EB44B" w14:textId="77777777" w:rsidR="00642AA4" w:rsidRPr="00FD5625" w:rsidRDefault="00642AA4" w:rsidP="00642AA4">
            <w:pPr>
              <w:spacing w:after="0"/>
            </w:pPr>
          </w:p>
        </w:tc>
        <w:tc>
          <w:tcPr>
            <w:tcW w:w="1574" w:type="dxa"/>
          </w:tcPr>
          <w:p w14:paraId="4ADD5F26" w14:textId="490E6E02" w:rsidR="00642AA4" w:rsidRPr="00CB6375" w:rsidRDefault="00642AA4" w:rsidP="00642AA4">
            <w:r w:rsidRPr="00CB6375">
              <w:t>Rozbudowa wniosków stypendialnych</w:t>
            </w:r>
          </w:p>
        </w:tc>
        <w:tc>
          <w:tcPr>
            <w:tcW w:w="1116" w:type="dxa"/>
          </w:tcPr>
          <w:p w14:paraId="29980030" w14:textId="759A25EE" w:rsidR="00642AA4" w:rsidRPr="00FD5625" w:rsidRDefault="001266D4" w:rsidP="00472B11">
            <w:pPr>
              <w:jc w:val="center"/>
            </w:pPr>
            <w:r>
              <w:t>4</w:t>
            </w:r>
          </w:p>
        </w:tc>
        <w:tc>
          <w:tcPr>
            <w:tcW w:w="1283" w:type="dxa"/>
          </w:tcPr>
          <w:p w14:paraId="6CF9CD5D" w14:textId="77777777" w:rsidR="00642AA4" w:rsidRDefault="00642AA4" w:rsidP="00642AA4"/>
        </w:tc>
      </w:tr>
      <w:tr w:rsidR="00642AA4" w:rsidRPr="0091438C" w14:paraId="675F16EC" w14:textId="0207A93F" w:rsidTr="00472B11">
        <w:trPr>
          <w:trHeight w:val="20"/>
        </w:trPr>
        <w:tc>
          <w:tcPr>
            <w:tcW w:w="425" w:type="dxa"/>
            <w:vAlign w:val="center"/>
          </w:tcPr>
          <w:p w14:paraId="671625FD" w14:textId="51730BD6" w:rsidR="00642AA4" w:rsidRPr="00FD5625" w:rsidRDefault="00642AA4" w:rsidP="00642AA4">
            <w:pPr>
              <w:spacing w:after="0"/>
            </w:pPr>
            <w:r>
              <w:t>4</w:t>
            </w:r>
          </w:p>
        </w:tc>
        <w:tc>
          <w:tcPr>
            <w:tcW w:w="3464" w:type="dxa"/>
            <w:vAlign w:val="center"/>
          </w:tcPr>
          <w:p w14:paraId="57BC58DD" w14:textId="1ACF0D55" w:rsidR="00642AA4" w:rsidRPr="00FD5625" w:rsidRDefault="00642AA4" w:rsidP="00642AA4">
            <w:pPr>
              <w:spacing w:after="0"/>
            </w:pPr>
            <w:r w:rsidRPr="00FD5625">
              <w:t xml:space="preserve">System posiada mechanizm generowania dokumentów w postaci decyzji elektronicznej, co oznacza iż w przypadku pobrania dokumentu przez studenta </w:t>
            </w:r>
            <w:r w:rsidRPr="00FD5625">
              <w:lastRenderedPageBreak/>
              <w:t>odnotowywana jest informacja o dacie zapoznania się z dokumentem.</w:t>
            </w:r>
          </w:p>
        </w:tc>
        <w:tc>
          <w:tcPr>
            <w:tcW w:w="2501" w:type="dxa"/>
          </w:tcPr>
          <w:p w14:paraId="6FA9FD16" w14:textId="143F4887" w:rsidR="00642AA4" w:rsidRPr="00FD5625" w:rsidRDefault="00642AA4" w:rsidP="00642AA4">
            <w:pPr>
              <w:spacing w:after="0"/>
            </w:pPr>
            <w:r w:rsidRPr="00FD5625">
              <w:lastRenderedPageBreak/>
              <w:t xml:space="preserve">Wykonanie akcji wymaga synchronizacji z obszarem obsługi studenta systemu dziekanatowego </w:t>
            </w:r>
            <w:r w:rsidRPr="00FD5625">
              <w:lastRenderedPageBreak/>
              <w:t>będącego w posiadaniu zamawiającego.</w:t>
            </w:r>
          </w:p>
        </w:tc>
        <w:tc>
          <w:tcPr>
            <w:tcW w:w="1574" w:type="dxa"/>
          </w:tcPr>
          <w:p w14:paraId="017DF220" w14:textId="1B9D69C9" w:rsidR="00642AA4" w:rsidRPr="00642AA4" w:rsidRDefault="00642AA4" w:rsidP="00642AA4">
            <w:r w:rsidRPr="75AA52A6">
              <w:lastRenderedPageBreak/>
              <w:t>Obieg dokumentów</w:t>
            </w:r>
          </w:p>
        </w:tc>
        <w:tc>
          <w:tcPr>
            <w:tcW w:w="1116" w:type="dxa"/>
          </w:tcPr>
          <w:p w14:paraId="57BE7670" w14:textId="3A2A7939" w:rsidR="00642AA4" w:rsidRPr="00FD5625" w:rsidRDefault="001266D4" w:rsidP="00472B11">
            <w:pPr>
              <w:jc w:val="center"/>
            </w:pPr>
            <w:r>
              <w:t>3</w:t>
            </w:r>
          </w:p>
        </w:tc>
        <w:tc>
          <w:tcPr>
            <w:tcW w:w="1283" w:type="dxa"/>
          </w:tcPr>
          <w:p w14:paraId="7AF4822B" w14:textId="77777777" w:rsidR="00642AA4" w:rsidRDefault="00642AA4" w:rsidP="00642AA4"/>
        </w:tc>
      </w:tr>
      <w:tr w:rsidR="00642AA4" w:rsidRPr="0091438C" w14:paraId="7B7B134B" w14:textId="124CD38A" w:rsidTr="00472B11">
        <w:trPr>
          <w:trHeight w:val="20"/>
        </w:trPr>
        <w:tc>
          <w:tcPr>
            <w:tcW w:w="425" w:type="dxa"/>
            <w:vAlign w:val="center"/>
          </w:tcPr>
          <w:p w14:paraId="64D8D3E1" w14:textId="4599EF60" w:rsidR="00642AA4" w:rsidRPr="00FD5625" w:rsidRDefault="00642AA4" w:rsidP="00642AA4">
            <w:pPr>
              <w:spacing w:after="0"/>
            </w:pPr>
            <w:r>
              <w:t>5</w:t>
            </w:r>
          </w:p>
        </w:tc>
        <w:tc>
          <w:tcPr>
            <w:tcW w:w="3464" w:type="dxa"/>
            <w:vAlign w:val="center"/>
          </w:tcPr>
          <w:p w14:paraId="6D4544DD" w14:textId="58836B27" w:rsidR="00642AA4" w:rsidRPr="00FD5625" w:rsidRDefault="00642AA4" w:rsidP="00642AA4">
            <w:pPr>
              <w:spacing w:after="0"/>
            </w:pPr>
            <w:r w:rsidRPr="00FD5625">
              <w:t>Wybór tematów prac dyplomowych oraz promotorów może być uruchamiany w trybie konkurencyjności w przypadku obleganych dydaktyków i tematów (np. na podstawie średniej ocen).</w:t>
            </w:r>
          </w:p>
        </w:tc>
        <w:tc>
          <w:tcPr>
            <w:tcW w:w="2501" w:type="dxa"/>
          </w:tcPr>
          <w:p w14:paraId="156FC23B" w14:textId="44B29F65" w:rsidR="00642AA4" w:rsidRPr="00FD5625" w:rsidRDefault="00642AA4" w:rsidP="00642AA4">
            <w:pPr>
              <w:spacing w:after="0"/>
            </w:pPr>
            <w:r w:rsidRPr="00FD5625">
              <w:t>Wymagana jest możliwość konfiguracji parametrów sterujących warunkami zapisów w procesie dyplomowania uwzględniających zestaw danych studenta w systemie dziekanatowym będącym w posiadaniu zamawiającego.</w:t>
            </w:r>
          </w:p>
        </w:tc>
        <w:tc>
          <w:tcPr>
            <w:tcW w:w="1574" w:type="dxa"/>
          </w:tcPr>
          <w:p w14:paraId="740A7EBB" w14:textId="77777777" w:rsidR="00642AA4" w:rsidRPr="00642AA4" w:rsidRDefault="00642AA4" w:rsidP="00642AA4">
            <w:r w:rsidRPr="00642AA4">
              <w:t>Praca dyplomowa</w:t>
            </w:r>
          </w:p>
          <w:p w14:paraId="74372969" w14:textId="77777777" w:rsidR="00642AA4" w:rsidRPr="00FD5625" w:rsidRDefault="00642AA4" w:rsidP="00642AA4">
            <w:pPr>
              <w:spacing w:after="0"/>
              <w:ind w:right="3456"/>
            </w:pPr>
          </w:p>
        </w:tc>
        <w:tc>
          <w:tcPr>
            <w:tcW w:w="1116" w:type="dxa"/>
          </w:tcPr>
          <w:p w14:paraId="033C9BE2" w14:textId="6AA13639" w:rsidR="00642AA4" w:rsidRPr="00FD5625" w:rsidRDefault="001266D4" w:rsidP="00472B11">
            <w:pPr>
              <w:jc w:val="center"/>
            </w:pPr>
            <w:r>
              <w:t>3</w:t>
            </w:r>
          </w:p>
        </w:tc>
        <w:tc>
          <w:tcPr>
            <w:tcW w:w="1283" w:type="dxa"/>
          </w:tcPr>
          <w:p w14:paraId="285C1127" w14:textId="77777777" w:rsidR="00642AA4" w:rsidRDefault="00642AA4" w:rsidP="00642AA4"/>
        </w:tc>
      </w:tr>
      <w:tr w:rsidR="00642AA4" w:rsidRPr="0091438C" w14:paraId="10880E2A" w14:textId="72BAB2A6" w:rsidTr="00472B11">
        <w:trPr>
          <w:trHeight w:val="20"/>
        </w:trPr>
        <w:tc>
          <w:tcPr>
            <w:tcW w:w="425" w:type="dxa"/>
            <w:vAlign w:val="center"/>
          </w:tcPr>
          <w:p w14:paraId="4ACC298C" w14:textId="3D811F86" w:rsidR="00642AA4" w:rsidRPr="00FD5625" w:rsidRDefault="00642AA4" w:rsidP="00642AA4">
            <w:pPr>
              <w:spacing w:after="0"/>
            </w:pPr>
            <w:r>
              <w:t>6</w:t>
            </w:r>
          </w:p>
        </w:tc>
        <w:tc>
          <w:tcPr>
            <w:tcW w:w="3464" w:type="dxa"/>
          </w:tcPr>
          <w:p w14:paraId="1562CB02" w14:textId="51FCAF53" w:rsidR="00642AA4" w:rsidRPr="00FD5625" w:rsidRDefault="00642AA4" w:rsidP="00642AA4">
            <w:pPr>
              <w:spacing w:after="0"/>
            </w:pPr>
            <w:r w:rsidRPr="00FD5625">
              <w:t>System musi umożliwiać studentowi zaimportowanie jego harmonogramu zajęć do kalendarza aplikacji zewnętrznej (np. Outlook).</w:t>
            </w:r>
          </w:p>
        </w:tc>
        <w:tc>
          <w:tcPr>
            <w:tcW w:w="2501" w:type="dxa"/>
          </w:tcPr>
          <w:p w14:paraId="0A12DBD4" w14:textId="77777777" w:rsidR="00642AA4" w:rsidRPr="00FD5625" w:rsidRDefault="00642AA4" w:rsidP="00642AA4">
            <w:pPr>
              <w:spacing w:after="0"/>
            </w:pPr>
          </w:p>
        </w:tc>
        <w:tc>
          <w:tcPr>
            <w:tcW w:w="1574" w:type="dxa"/>
          </w:tcPr>
          <w:p w14:paraId="62AB4554" w14:textId="77777777" w:rsidR="00642AA4" w:rsidRPr="00642AA4" w:rsidRDefault="00642AA4" w:rsidP="00642AA4">
            <w:r w:rsidRPr="00642AA4">
              <w:t>Praca dyplomowa</w:t>
            </w:r>
          </w:p>
          <w:p w14:paraId="588EF652" w14:textId="77777777" w:rsidR="00642AA4" w:rsidRPr="00FD5625" w:rsidRDefault="00642AA4" w:rsidP="00642AA4">
            <w:pPr>
              <w:spacing w:after="0"/>
              <w:ind w:right="3456"/>
            </w:pPr>
          </w:p>
        </w:tc>
        <w:tc>
          <w:tcPr>
            <w:tcW w:w="1116" w:type="dxa"/>
          </w:tcPr>
          <w:p w14:paraId="7F8C861F" w14:textId="6FDEAEB4" w:rsidR="00642AA4" w:rsidRPr="00FD5625" w:rsidRDefault="001266D4" w:rsidP="00472B11">
            <w:pPr>
              <w:jc w:val="center"/>
            </w:pPr>
            <w:r>
              <w:t>4</w:t>
            </w:r>
          </w:p>
        </w:tc>
        <w:tc>
          <w:tcPr>
            <w:tcW w:w="1283" w:type="dxa"/>
          </w:tcPr>
          <w:p w14:paraId="7F64814A" w14:textId="77777777" w:rsidR="00642AA4" w:rsidRDefault="00642AA4" w:rsidP="00642AA4"/>
        </w:tc>
      </w:tr>
      <w:tr w:rsidR="00642AA4" w:rsidRPr="0091438C" w14:paraId="4697DFFD" w14:textId="03B391D0" w:rsidTr="00472B11">
        <w:trPr>
          <w:trHeight w:val="20"/>
        </w:trPr>
        <w:tc>
          <w:tcPr>
            <w:tcW w:w="425" w:type="dxa"/>
            <w:vAlign w:val="center"/>
          </w:tcPr>
          <w:p w14:paraId="743C7AF2" w14:textId="1DA335DE" w:rsidR="00642AA4" w:rsidRPr="00FD5625" w:rsidRDefault="00642AA4" w:rsidP="00642AA4">
            <w:pPr>
              <w:spacing w:after="0"/>
            </w:pPr>
            <w:r>
              <w:t>7</w:t>
            </w:r>
          </w:p>
        </w:tc>
        <w:tc>
          <w:tcPr>
            <w:tcW w:w="3464" w:type="dxa"/>
          </w:tcPr>
          <w:p w14:paraId="4F459BCF" w14:textId="74B7B60B" w:rsidR="00642AA4" w:rsidRPr="00FD5625" w:rsidRDefault="00642AA4" w:rsidP="00642AA4">
            <w:pPr>
              <w:spacing w:after="0"/>
            </w:pPr>
            <w:r w:rsidRPr="00FD5625">
              <w:t>Interfejs Aplikacji dostępny w językach polskim i angielskim, z automatycznym przełączaniem wg języka systemu operacyjnego urządzenia mobilnego</w:t>
            </w:r>
          </w:p>
        </w:tc>
        <w:tc>
          <w:tcPr>
            <w:tcW w:w="2501" w:type="dxa"/>
          </w:tcPr>
          <w:p w14:paraId="3C7744D1" w14:textId="77777777" w:rsidR="00642AA4" w:rsidRPr="00FD5625" w:rsidRDefault="00642AA4" w:rsidP="00642AA4">
            <w:pPr>
              <w:spacing w:after="0"/>
            </w:pPr>
          </w:p>
        </w:tc>
        <w:tc>
          <w:tcPr>
            <w:tcW w:w="1574" w:type="dxa"/>
          </w:tcPr>
          <w:p w14:paraId="42CD17A7" w14:textId="25A18672" w:rsidR="00642AA4" w:rsidRPr="00642AA4" w:rsidRDefault="00642AA4" w:rsidP="00642AA4">
            <w:r>
              <w:t>Aplikacja mobilna</w:t>
            </w:r>
          </w:p>
        </w:tc>
        <w:tc>
          <w:tcPr>
            <w:tcW w:w="1116" w:type="dxa"/>
          </w:tcPr>
          <w:p w14:paraId="51113836" w14:textId="56B4DA95" w:rsidR="00642AA4" w:rsidRPr="00FD5625" w:rsidRDefault="001266D4" w:rsidP="00472B11">
            <w:pPr>
              <w:jc w:val="center"/>
            </w:pPr>
            <w:r>
              <w:t>3</w:t>
            </w:r>
          </w:p>
        </w:tc>
        <w:tc>
          <w:tcPr>
            <w:tcW w:w="1283" w:type="dxa"/>
          </w:tcPr>
          <w:p w14:paraId="1AED8718" w14:textId="77777777" w:rsidR="00642AA4" w:rsidRDefault="00642AA4" w:rsidP="00642AA4"/>
        </w:tc>
      </w:tr>
      <w:tr w:rsidR="00642AA4" w:rsidRPr="0091438C" w14:paraId="46AFAAAE" w14:textId="4C8CB283" w:rsidTr="00472B11">
        <w:trPr>
          <w:trHeight w:val="20"/>
        </w:trPr>
        <w:tc>
          <w:tcPr>
            <w:tcW w:w="425" w:type="dxa"/>
            <w:vAlign w:val="center"/>
          </w:tcPr>
          <w:p w14:paraId="4B693260" w14:textId="1956457D" w:rsidR="00642AA4" w:rsidRPr="00FD5625" w:rsidRDefault="00642AA4" w:rsidP="00642AA4">
            <w:pPr>
              <w:spacing w:after="0"/>
            </w:pPr>
            <w:r>
              <w:t>8</w:t>
            </w:r>
          </w:p>
        </w:tc>
        <w:tc>
          <w:tcPr>
            <w:tcW w:w="3464" w:type="dxa"/>
          </w:tcPr>
          <w:p w14:paraId="1DBE5DBA" w14:textId="076804A6" w:rsidR="00642AA4" w:rsidRPr="00FD5625" w:rsidRDefault="00642AA4" w:rsidP="00642AA4">
            <w:pPr>
              <w:spacing w:after="0"/>
            </w:pPr>
            <w:r w:rsidRPr="00FD5625">
              <w:t>Student będzie informowany powiadomieniem z Aplikacji o naliczeniu każdej nowej opłaty i stypendium, po jego udostępnieniu w systemie dziekanatowym</w:t>
            </w:r>
          </w:p>
        </w:tc>
        <w:tc>
          <w:tcPr>
            <w:tcW w:w="2501" w:type="dxa"/>
          </w:tcPr>
          <w:p w14:paraId="2B1E5BAC" w14:textId="77777777" w:rsidR="00642AA4" w:rsidRPr="00FD5625" w:rsidRDefault="00642AA4" w:rsidP="00642AA4">
            <w:pPr>
              <w:spacing w:after="0"/>
            </w:pPr>
          </w:p>
        </w:tc>
        <w:tc>
          <w:tcPr>
            <w:tcW w:w="1574" w:type="dxa"/>
          </w:tcPr>
          <w:p w14:paraId="75092C37" w14:textId="4D676447" w:rsidR="00642AA4" w:rsidRPr="00642AA4" w:rsidRDefault="00642AA4" w:rsidP="00642AA4">
            <w:r>
              <w:t>Aplikacja mobilna</w:t>
            </w:r>
          </w:p>
        </w:tc>
        <w:tc>
          <w:tcPr>
            <w:tcW w:w="1116" w:type="dxa"/>
          </w:tcPr>
          <w:p w14:paraId="7BF22D97" w14:textId="70C065EF" w:rsidR="00642AA4" w:rsidRPr="00FD5625" w:rsidRDefault="001266D4" w:rsidP="00472B11">
            <w:pPr>
              <w:jc w:val="center"/>
            </w:pPr>
            <w:r>
              <w:t>3</w:t>
            </w:r>
          </w:p>
        </w:tc>
        <w:tc>
          <w:tcPr>
            <w:tcW w:w="1283" w:type="dxa"/>
          </w:tcPr>
          <w:p w14:paraId="4CA92AF9" w14:textId="77777777" w:rsidR="00642AA4" w:rsidRDefault="00642AA4" w:rsidP="00642AA4"/>
        </w:tc>
      </w:tr>
      <w:tr w:rsidR="00642AA4" w:rsidRPr="0091438C" w14:paraId="1AEFDA1A" w14:textId="59C3BAFE" w:rsidTr="00472B11">
        <w:trPr>
          <w:trHeight w:val="20"/>
        </w:trPr>
        <w:tc>
          <w:tcPr>
            <w:tcW w:w="425" w:type="dxa"/>
            <w:vAlign w:val="center"/>
          </w:tcPr>
          <w:p w14:paraId="56554A76" w14:textId="1DB49CF6" w:rsidR="00642AA4" w:rsidRPr="00FD5625" w:rsidRDefault="00642AA4" w:rsidP="00642AA4">
            <w:pPr>
              <w:spacing w:after="0"/>
            </w:pPr>
            <w:r>
              <w:t>9</w:t>
            </w:r>
          </w:p>
        </w:tc>
        <w:tc>
          <w:tcPr>
            <w:tcW w:w="3464" w:type="dxa"/>
            <w:vAlign w:val="center"/>
          </w:tcPr>
          <w:p w14:paraId="21166FCE" w14:textId="3452C708" w:rsidR="00642AA4" w:rsidRPr="00FD5625" w:rsidRDefault="00642AA4" w:rsidP="00642AA4">
            <w:pPr>
              <w:spacing w:after="0"/>
            </w:pPr>
            <w:r w:rsidRPr="00FD5625">
              <w:rPr>
                <w:sz w:val="20"/>
                <w:szCs w:val="20"/>
              </w:rPr>
              <w:t>S</w:t>
            </w:r>
            <w:r w:rsidRPr="00CB6375">
              <w:t>ystem umożliwia wprowadzenie przez studenta w wniosku dodatkowych informacji definiowanych do wniosku.</w:t>
            </w:r>
          </w:p>
        </w:tc>
        <w:tc>
          <w:tcPr>
            <w:tcW w:w="2501" w:type="dxa"/>
          </w:tcPr>
          <w:p w14:paraId="66AA53C6" w14:textId="41CB7731" w:rsidR="00642AA4" w:rsidRPr="00FD5625" w:rsidRDefault="00642AA4" w:rsidP="00642AA4">
            <w:pPr>
              <w:spacing w:after="0"/>
            </w:pPr>
            <w:r w:rsidRPr="00FD5625">
              <w:t>Wymagana jest integracja z modułem obsługi domów  studenta będącym w posiadaniu Zamawiającego.</w:t>
            </w:r>
          </w:p>
          <w:p w14:paraId="74CBEAA1" w14:textId="2F5CB2EA" w:rsidR="00642AA4" w:rsidRPr="00FD5625" w:rsidRDefault="00642AA4" w:rsidP="00642AA4">
            <w:pPr>
              <w:spacing w:after="0"/>
            </w:pPr>
            <w:r w:rsidRPr="00FD5625">
              <w:t>Wymagana jest bieżąca synchronizacja danych wniosków modułem obsługi domów  studenta będącym w posiadaniu Zamawiającego.</w:t>
            </w:r>
          </w:p>
        </w:tc>
        <w:tc>
          <w:tcPr>
            <w:tcW w:w="1574" w:type="dxa"/>
          </w:tcPr>
          <w:p w14:paraId="4DF5168D" w14:textId="4E09B08A" w:rsidR="00642AA4" w:rsidRPr="00764B72" w:rsidRDefault="00642AA4" w:rsidP="00642AA4">
            <w:r w:rsidRPr="00764B72">
              <w:t>Wnioski Dom Studenta</w:t>
            </w:r>
          </w:p>
        </w:tc>
        <w:tc>
          <w:tcPr>
            <w:tcW w:w="1116" w:type="dxa"/>
          </w:tcPr>
          <w:p w14:paraId="4E6F06FF" w14:textId="23CCC232" w:rsidR="00642AA4" w:rsidRPr="00FD5625" w:rsidRDefault="001266D4" w:rsidP="00472B11">
            <w:pPr>
              <w:jc w:val="center"/>
            </w:pPr>
            <w:r>
              <w:t>3</w:t>
            </w:r>
          </w:p>
        </w:tc>
        <w:tc>
          <w:tcPr>
            <w:tcW w:w="1283" w:type="dxa"/>
          </w:tcPr>
          <w:p w14:paraId="44E97B4A" w14:textId="77777777" w:rsidR="00642AA4" w:rsidRDefault="00642AA4" w:rsidP="00642AA4"/>
        </w:tc>
      </w:tr>
    </w:tbl>
    <w:p w14:paraId="7340078B" w14:textId="77777777" w:rsidR="00572624" w:rsidRDefault="00572624"/>
    <w:sectPr w:rsidR="005726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3AAFD" w14:textId="77777777" w:rsidR="00725E73" w:rsidRDefault="00725E73" w:rsidP="00F13E30">
      <w:pPr>
        <w:spacing w:after="0" w:line="240" w:lineRule="auto"/>
      </w:pPr>
      <w:r>
        <w:separator/>
      </w:r>
    </w:p>
  </w:endnote>
  <w:endnote w:type="continuationSeparator" w:id="0">
    <w:p w14:paraId="0FBE195A" w14:textId="77777777" w:rsidR="00725E73" w:rsidRDefault="00725E73" w:rsidP="00F1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C1DD" w14:textId="77777777" w:rsidR="00361C63" w:rsidRDefault="00361C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391588"/>
      <w:docPartObj>
        <w:docPartGallery w:val="Page Numbers (Bottom of Page)"/>
        <w:docPartUnique/>
      </w:docPartObj>
    </w:sdtPr>
    <w:sdtEndPr/>
    <w:sdtContent>
      <w:p w14:paraId="00063705" w14:textId="1DD34A9D" w:rsidR="00CD00B0" w:rsidRDefault="00CD00B0">
        <w:pPr>
          <w:pStyle w:val="Stopka"/>
          <w:jc w:val="right"/>
        </w:pPr>
        <w:r>
          <w:fldChar w:fldCharType="begin"/>
        </w:r>
        <w:r>
          <w:instrText>PAGE   \* MERGEFORMAT</w:instrText>
        </w:r>
        <w:r>
          <w:fldChar w:fldCharType="separate"/>
        </w:r>
        <w:r w:rsidR="00E70B46">
          <w:rPr>
            <w:noProof/>
          </w:rPr>
          <w:t>2</w:t>
        </w:r>
        <w:r>
          <w:fldChar w:fldCharType="end"/>
        </w:r>
      </w:p>
    </w:sdtContent>
  </w:sdt>
  <w:p w14:paraId="26907185" w14:textId="77777777" w:rsidR="00CD00B0" w:rsidRDefault="00CD0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85B0" w14:textId="77777777" w:rsidR="00361C63" w:rsidRDefault="00361C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5BE0D" w14:textId="77777777" w:rsidR="00725E73" w:rsidRDefault="00725E73" w:rsidP="00F13E30">
      <w:pPr>
        <w:spacing w:after="0" w:line="240" w:lineRule="auto"/>
      </w:pPr>
      <w:r>
        <w:separator/>
      </w:r>
    </w:p>
  </w:footnote>
  <w:footnote w:type="continuationSeparator" w:id="0">
    <w:p w14:paraId="0F2ECCF5" w14:textId="77777777" w:rsidR="00725E73" w:rsidRDefault="00725E73" w:rsidP="00F1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1447" w14:textId="77777777" w:rsidR="00361C63" w:rsidRDefault="00361C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FF8E" w14:textId="02CD9F03" w:rsidR="00361C63" w:rsidRDefault="00361C63">
    <w:pPr>
      <w:pStyle w:val="Nagwek"/>
    </w:pPr>
    <w:r>
      <w:rPr>
        <w:noProof/>
        <w:lang w:eastAsia="pl-PL"/>
      </w:rPr>
      <w:drawing>
        <wp:inline distT="0" distB="0" distL="0" distR="0" wp14:anchorId="67E706D2" wp14:editId="288001DE">
          <wp:extent cx="5760720" cy="6661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666115"/>
                  </a:xfrm>
                  <a:prstGeom prst="rect">
                    <a:avLst/>
                  </a:prstGeom>
                </pic:spPr>
              </pic:pic>
            </a:graphicData>
          </a:graphic>
        </wp:inline>
      </w:drawing>
    </w:r>
  </w:p>
  <w:p w14:paraId="2559F149" w14:textId="77777777" w:rsidR="00EA5BFB" w:rsidRDefault="00EA5B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3F64" w14:textId="77777777" w:rsidR="00361C63" w:rsidRDefault="00361C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388"/>
    <w:multiLevelType w:val="hybridMultilevel"/>
    <w:tmpl w:val="D3AE6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B400FD"/>
    <w:multiLevelType w:val="hybridMultilevel"/>
    <w:tmpl w:val="1CDC9338"/>
    <w:lvl w:ilvl="0" w:tplc="58B8FB7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400F6D"/>
    <w:multiLevelType w:val="hybridMultilevel"/>
    <w:tmpl w:val="44DC13FC"/>
    <w:lvl w:ilvl="0" w:tplc="0415000F">
      <w:start w:val="1"/>
      <w:numFmt w:val="decimal"/>
      <w:lvlText w:val="%1."/>
      <w:lvlJc w:val="left"/>
      <w:pPr>
        <w:ind w:left="99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30"/>
    <w:rsid w:val="000458AC"/>
    <w:rsid w:val="000E2D2F"/>
    <w:rsid w:val="001051F7"/>
    <w:rsid w:val="001266D4"/>
    <w:rsid w:val="001427C7"/>
    <w:rsid w:val="00361C63"/>
    <w:rsid w:val="00472B11"/>
    <w:rsid w:val="005049A7"/>
    <w:rsid w:val="00572624"/>
    <w:rsid w:val="00642AA4"/>
    <w:rsid w:val="00725E73"/>
    <w:rsid w:val="00764B72"/>
    <w:rsid w:val="00800E4D"/>
    <w:rsid w:val="00956576"/>
    <w:rsid w:val="00BB7727"/>
    <w:rsid w:val="00C57853"/>
    <w:rsid w:val="00CB6375"/>
    <w:rsid w:val="00CD00B0"/>
    <w:rsid w:val="00CF3C36"/>
    <w:rsid w:val="00DB13C0"/>
    <w:rsid w:val="00DB1561"/>
    <w:rsid w:val="00E027D2"/>
    <w:rsid w:val="00E70B46"/>
    <w:rsid w:val="00EA5BFB"/>
    <w:rsid w:val="00F13E30"/>
    <w:rsid w:val="00FD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0CC2"/>
  <w15:chartTrackingRefBased/>
  <w15:docId w15:val="{CF85DB73-36B7-4AC3-9B2A-0150E789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13E30"/>
    <w:pPr>
      <w:keepNext/>
      <w:keepLines/>
      <w:numPr>
        <w:numId w:val="1"/>
      </w:numPr>
      <w:spacing w:before="240" w:after="0"/>
      <w:outlineLvl w:val="0"/>
    </w:pPr>
    <w:rPr>
      <w:rFonts w:asciiTheme="majorHAnsi" w:eastAsia="Calibri" w:hAnsiTheme="majorHAnsi" w:cstheme="majorBidi"/>
      <w:color w:val="0070C0"/>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3E30"/>
    <w:rPr>
      <w:rFonts w:asciiTheme="majorHAnsi" w:eastAsia="Calibri" w:hAnsiTheme="majorHAnsi" w:cstheme="majorBidi"/>
      <w:color w:val="0070C0"/>
      <w:sz w:val="24"/>
      <w:szCs w:val="32"/>
    </w:rPr>
  </w:style>
  <w:style w:type="paragraph" w:styleId="Akapitzlist">
    <w:name w:val="List Paragraph"/>
    <w:basedOn w:val="Normalny"/>
    <w:uiPriority w:val="34"/>
    <w:qFormat/>
    <w:rsid w:val="00F13E30"/>
    <w:pPr>
      <w:ind w:left="720"/>
      <w:contextualSpacing/>
    </w:pPr>
  </w:style>
  <w:style w:type="paragraph" w:customStyle="1" w:styleId="Akapitzlist1">
    <w:name w:val="Akapit z listą1"/>
    <w:basedOn w:val="Normalny"/>
    <w:link w:val="ListParagraphChar"/>
    <w:rsid w:val="00CB6375"/>
    <w:pPr>
      <w:spacing w:after="0" w:line="240" w:lineRule="auto"/>
      <w:ind w:left="720"/>
    </w:pPr>
    <w:rPr>
      <w:rFonts w:ascii="Cambria" w:eastAsia="Times New Roman" w:hAnsi="Cambria" w:cs="Times New Roman"/>
      <w:sz w:val="20"/>
      <w:szCs w:val="20"/>
      <w:lang w:eastAsia="pl-PL"/>
    </w:rPr>
  </w:style>
  <w:style w:type="character" w:customStyle="1" w:styleId="ListParagraphChar">
    <w:name w:val="List Paragraph Char"/>
    <w:link w:val="Akapitzlist1"/>
    <w:locked/>
    <w:rsid w:val="00CB6375"/>
    <w:rPr>
      <w:rFonts w:ascii="Cambria" w:eastAsia="Times New Roman" w:hAnsi="Cambria" w:cs="Times New Roman"/>
      <w:sz w:val="20"/>
      <w:szCs w:val="20"/>
      <w:lang w:eastAsia="pl-PL"/>
    </w:rPr>
  </w:style>
  <w:style w:type="paragraph" w:styleId="Nagwek">
    <w:name w:val="header"/>
    <w:basedOn w:val="Normalny"/>
    <w:link w:val="NagwekZnak"/>
    <w:uiPriority w:val="99"/>
    <w:unhideWhenUsed/>
    <w:rsid w:val="00CD00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00B0"/>
  </w:style>
  <w:style w:type="paragraph" w:styleId="Stopka">
    <w:name w:val="footer"/>
    <w:basedOn w:val="Normalny"/>
    <w:link w:val="StopkaZnak"/>
    <w:uiPriority w:val="99"/>
    <w:unhideWhenUsed/>
    <w:rsid w:val="00CD00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00B0"/>
  </w:style>
  <w:style w:type="paragraph" w:styleId="Tekstdymka">
    <w:name w:val="Balloon Text"/>
    <w:basedOn w:val="Normalny"/>
    <w:link w:val="TekstdymkaZnak"/>
    <w:uiPriority w:val="99"/>
    <w:semiHidden/>
    <w:unhideWhenUsed/>
    <w:rsid w:val="00CD00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0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2682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Projekt</cp:lastModifiedBy>
  <cp:revision>11</cp:revision>
  <cp:lastPrinted>2022-07-29T09:13:00Z</cp:lastPrinted>
  <dcterms:created xsi:type="dcterms:W3CDTF">2022-07-29T08:39:00Z</dcterms:created>
  <dcterms:modified xsi:type="dcterms:W3CDTF">2022-08-02T09:56:00Z</dcterms:modified>
</cp:coreProperties>
</file>